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Особый порядок начисления пени за просрочку оплаты услуг ЖКХ</w:t>
      </w:r>
    </w:p>
    <w:p w14:paraId="0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3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Постановлением Правительства Российской Федерации от 18 марта 2025 года № 329 установлены особенности регулирования жилищных отношений в 2025-2026 годах.</w:t>
      </w:r>
    </w:p>
    <w:p w14:paraId="04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Начисление и уплата пени и штрафов за несвоевременную оплату жилищно-коммунальных услуг до 1 января 2027 года будут осуществляться исходя из наименьшего значения ключевой ставки Центрального банка Российской Федерации: 9,5% годовых (действовавшей на 27 февраля 2022 года) или на день фактической оплаты.</w:t>
      </w:r>
    </w:p>
    <w:p w14:paraId="05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Такой порядок начисления пени и штрафов распространяется на случаи:</w:t>
      </w:r>
    </w:p>
    <w:p w14:paraId="06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- неполного и (или) несвоевременного внесения платы за жилое помещение и коммунальные услуги, взносов на капитальный ремонт, а также начисления и взыскания неустойки (штрафа, пени) за несвоевременное и (или) не полностью исполненное юридическими лицами и индивидуальными предпринимателями обязательство по оплате услуг, предоставляемых на основании договоров о газоснабжении, об электроэнергетике, о теплоснабжении, о водоснабжении и водоотведении, об обращении с твердыми коммунальными отходами;</w:t>
      </w:r>
    </w:p>
    <w:p w14:paraId="07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- просрочки исполнения обязательства по установке, замене и (или) эксплуатации приборов учета используемых энергетических ресурсов.</w:t>
      </w:r>
    </w:p>
    <w:p w14:paraId="08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Также предусмотрено, что при включении условия о рассрочке в договор об установке индивидуального, общего (для коммунальной квартиры) или коллективного (общедомового) прибора учета используемого энергетического ресурса в цену, определенную таким договором, подлежит включению сумма процентов исходя из наименьшего значения ключевой ставки по состоянию на одну из вышеуказанных дат.</w:t>
      </w:r>
    </w:p>
    <w:p w14:paraId="09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A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Прокурор Курманаевского района</w:t>
      </w:r>
    </w:p>
    <w:p w14:paraId="0B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C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советник юстиции                                                                                     Ю.Е. Кучуров</w:t>
      </w:r>
    </w:p>
    <w:p w14:paraId="0D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 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2025-11-21T06:49:38Z</dcterms:modified>
</cp:coreProperties>
</file>